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39" w:rsidRPr="006E0F38" w:rsidRDefault="00F85E39" w:rsidP="00F85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783590" cy="1080770"/>
            <wp:effectExtent l="19050" t="0" r="0" b="0"/>
            <wp:docPr id="2" name="Рисунок 1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39" w:rsidRPr="006E0F38" w:rsidRDefault="00F85E39" w:rsidP="00F85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F38">
        <w:rPr>
          <w:rFonts w:ascii="Times New Roman" w:hAnsi="Times New Roman"/>
          <w:b/>
          <w:sz w:val="32"/>
          <w:szCs w:val="32"/>
        </w:rPr>
        <w:t>АДМИНИСТРАЦИЯ КОПЫЛОВСКОГО СЕЛЬСКОГО</w:t>
      </w:r>
    </w:p>
    <w:p w:rsidR="00F85E39" w:rsidRPr="006E0F38" w:rsidRDefault="00F85E39" w:rsidP="00F85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F38">
        <w:rPr>
          <w:rFonts w:ascii="Times New Roman" w:hAnsi="Times New Roman"/>
          <w:b/>
          <w:sz w:val="32"/>
          <w:szCs w:val="32"/>
        </w:rPr>
        <w:t>ПОСЕЛЕНИЯ</w:t>
      </w:r>
    </w:p>
    <w:p w:rsidR="00F85E39" w:rsidRPr="006E0F38" w:rsidRDefault="00F85E39" w:rsidP="00F85E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0F38">
        <w:rPr>
          <w:rFonts w:ascii="Times New Roman" w:hAnsi="Times New Roman"/>
          <w:b/>
          <w:sz w:val="32"/>
          <w:szCs w:val="32"/>
        </w:rPr>
        <w:t>ПОСТАНОВЛЕНИЕ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F38">
        <w:rPr>
          <w:rFonts w:ascii="Times New Roman" w:hAnsi="Times New Roman"/>
          <w:sz w:val="26"/>
          <w:szCs w:val="26"/>
        </w:rPr>
        <w:t>«___»_____________2022г.                                              №  ____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5E39" w:rsidRPr="006E0F38" w:rsidRDefault="00F85E39" w:rsidP="00F85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E0F38">
        <w:rPr>
          <w:rFonts w:ascii="Times New Roman" w:hAnsi="Times New Roman"/>
          <w:sz w:val="28"/>
          <w:szCs w:val="28"/>
        </w:rPr>
        <w:t xml:space="preserve">  на территории муниципального образования «Копыловское сельское поселение» Томского района Томской области»</w:t>
      </w:r>
    </w:p>
    <w:p w:rsidR="00F85E39" w:rsidRPr="006E0F38" w:rsidRDefault="00F85E39" w:rsidP="00F85E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5E39" w:rsidRPr="006E0F38" w:rsidRDefault="00F85E39" w:rsidP="00F85E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6"/>
          <w:szCs w:val="26"/>
        </w:rPr>
        <w:t xml:space="preserve">      </w:t>
      </w:r>
      <w:r w:rsidRPr="006E0F38">
        <w:rPr>
          <w:rFonts w:ascii="Times New Roman" w:hAnsi="Times New Roman"/>
          <w:sz w:val="28"/>
          <w:szCs w:val="28"/>
        </w:rPr>
        <w:t xml:space="preserve">В соответствии Федеральным законом от 27.07.2010 N 210-ФЗ "Об организации предоставления государственных и муниципальных услуг", </w:t>
      </w:r>
    </w:p>
    <w:p w:rsidR="00F85E39" w:rsidRPr="006E0F38" w:rsidRDefault="00F85E39" w:rsidP="00F85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5E39" w:rsidRPr="006E0F38" w:rsidRDefault="00F85E39" w:rsidP="00F85E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E0F38">
        <w:rPr>
          <w:rFonts w:ascii="Times New Roman" w:hAnsi="Times New Roman"/>
          <w:b/>
          <w:sz w:val="28"/>
          <w:szCs w:val="28"/>
        </w:rPr>
        <w:t>Постановляю:</w:t>
      </w:r>
    </w:p>
    <w:p w:rsidR="00F85E39" w:rsidRPr="006E0F38" w:rsidRDefault="00F85E39" w:rsidP="00F85E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 xml:space="preserve">      1. Утвердить Административный регламент предоставления  муниципальной   услуги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6E0F38">
        <w:rPr>
          <w:rFonts w:ascii="Times New Roman" w:hAnsi="Times New Roman"/>
          <w:sz w:val="28"/>
          <w:szCs w:val="28"/>
        </w:rPr>
        <w:t xml:space="preserve">  на территории муниципального образования «Копыловское сельское поселение» Томского района Томской области,  согласно приложению.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0F38">
        <w:rPr>
          <w:rFonts w:ascii="Times New Roman" w:hAnsi="Times New Roman"/>
          <w:sz w:val="28"/>
          <w:szCs w:val="28"/>
        </w:rPr>
        <w:t xml:space="preserve">    2. Постановление Администрации Копыловского сельского поселения от </w:t>
      </w:r>
      <w:r w:rsidR="00453FDE">
        <w:rPr>
          <w:rFonts w:ascii="Times New Roman" w:hAnsi="Times New Roman"/>
          <w:sz w:val="28"/>
          <w:szCs w:val="28"/>
        </w:rPr>
        <w:t>09» октября 2017г.</w:t>
      </w:r>
      <w:r w:rsidR="00453FDE" w:rsidRPr="00453FDE">
        <w:rPr>
          <w:rFonts w:ascii="Times New Roman" w:hAnsi="Times New Roman"/>
          <w:sz w:val="28"/>
          <w:szCs w:val="28"/>
        </w:rPr>
        <w:t xml:space="preserve"> № 257</w:t>
      </w:r>
      <w:r w:rsidRPr="006E0F3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E0F38">
        <w:rPr>
          <w:rFonts w:ascii="Times New Roman" w:hAnsi="Times New Roman"/>
          <w:sz w:val="26"/>
          <w:szCs w:val="26"/>
        </w:rPr>
        <w:t xml:space="preserve"> </w:t>
      </w:r>
      <w:r w:rsidRPr="006E0F38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F85E39" w:rsidRPr="006E0F38" w:rsidRDefault="00F85E39" w:rsidP="00F85E3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бюллетене и разместить на официальном сайте муниципального образования «Копыловское сельское поселение» в сети Интернет (www.kopilovo.tomsk.ru).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 xml:space="preserve">     4.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85E39" w:rsidRPr="006E0F38" w:rsidRDefault="00F85E39" w:rsidP="00F85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5E39" w:rsidRPr="006E0F38" w:rsidRDefault="00F85E39" w:rsidP="00F85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39" w:rsidRPr="006E0F38" w:rsidRDefault="00F85E39" w:rsidP="00F85E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0F38">
        <w:rPr>
          <w:rFonts w:ascii="Times New Roman" w:hAnsi="Times New Roman"/>
          <w:sz w:val="28"/>
          <w:szCs w:val="28"/>
        </w:rPr>
        <w:t>Глава поселения (Глава администрации)                                    А.А.Куринский</w:t>
      </w:r>
    </w:p>
    <w:p w:rsidR="00F85E39" w:rsidRPr="006E0F38" w:rsidRDefault="00F85E39" w:rsidP="00F85E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Чурикова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989488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0F38">
        <w:rPr>
          <w:rFonts w:ascii="Times New Roman" w:hAnsi="Times New Roman"/>
          <w:sz w:val="18"/>
          <w:szCs w:val="18"/>
        </w:rPr>
        <w:t>В дело № 01-02</w:t>
      </w:r>
    </w:p>
    <w:p w:rsidR="00F85E39" w:rsidRPr="006E0F38" w:rsidRDefault="00F85E39" w:rsidP="00F85E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0F38">
        <w:rPr>
          <w:rFonts w:ascii="Times New Roman" w:hAnsi="Times New Roman"/>
          <w:sz w:val="18"/>
          <w:szCs w:val="18"/>
        </w:rPr>
        <w:t>Попова А.В.</w:t>
      </w:r>
    </w:p>
    <w:p w:rsidR="00470FD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F85E39" w:rsidRDefault="00F85E3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F85E39" w:rsidRPr="00302E6A" w:rsidRDefault="00F85E3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F85E39" w:rsidRPr="006E0F38" w:rsidRDefault="00F85E39" w:rsidP="00F85E39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0F38">
        <w:rPr>
          <w:rFonts w:ascii="Times New Roman" w:hAnsi="Times New Roman"/>
          <w:sz w:val="24"/>
          <w:szCs w:val="24"/>
        </w:rPr>
        <w:lastRenderedPageBreak/>
        <w:t>Приложение к постановлению Администрации</w:t>
      </w:r>
    </w:p>
    <w:p w:rsidR="00F85E39" w:rsidRPr="006E0F38" w:rsidRDefault="00F85E39" w:rsidP="00F85E39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0F38">
        <w:rPr>
          <w:rFonts w:ascii="Times New Roman" w:hAnsi="Times New Roman"/>
          <w:sz w:val="24"/>
          <w:szCs w:val="24"/>
        </w:rPr>
        <w:t>Копыловского сельского поселения от №</w:t>
      </w:r>
    </w:p>
    <w:p w:rsidR="00F85E39" w:rsidRDefault="00F85E39" w:rsidP="00F85E3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5E39" w:rsidRDefault="00F85E39" w:rsidP="00F85E3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5E39" w:rsidRPr="006E0F38" w:rsidRDefault="00F85E39" w:rsidP="00F85E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E0F38">
        <w:rPr>
          <w:rFonts w:ascii="Times New Roman" w:hAnsi="Times New Roman"/>
          <w:b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«Выдача разрешения на ввод объекта в эксплуатацию» </w:t>
      </w:r>
      <w:r w:rsidRPr="006E0F3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6E0F38">
        <w:rPr>
          <w:rFonts w:ascii="Times New Roman" w:hAnsi="Times New Roman"/>
          <w:b/>
          <w:bCs/>
          <w:iCs/>
          <w:color w:val="000000"/>
          <w:sz w:val="28"/>
          <w:szCs w:val="28"/>
        </w:rPr>
        <w:t>на территории муниципального образования «Копыловское сельское поселение» Томского района Томской области</w:t>
      </w:r>
    </w:p>
    <w:p w:rsidR="00F85E39" w:rsidRDefault="00F85E39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85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A30887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A30887" w:rsidRPr="00A30887">
        <w:rPr>
          <w:rFonts w:ascii="Times New Roman" w:hAnsi="Times New Roman"/>
          <w:iCs/>
          <w:color w:val="000000" w:themeColor="text1"/>
          <w:sz w:val="28"/>
          <w:szCs w:val="28"/>
        </w:rPr>
        <w:t>(www.kopilovo.tomsk.ru);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работник многофункционального центра,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государственной (муниципальной)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государственной (муниципальной)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A30887" w:rsidRDefault="00A3088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 w:rsidR="00C0356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Администрацией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Копыловского</w:t>
      </w:r>
      <w:r w:rsidRPr="00A30887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  <w:r w:rsidR="000B3F69" w:rsidRPr="00A3088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Срок предоставления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государственной (муниципальной)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муниципальной)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</w:t>
      </w:r>
      <w:r w:rsidRPr="00302E6A">
        <w:rPr>
          <w:bCs/>
          <w:color w:val="000000" w:themeColor="text1"/>
        </w:rPr>
        <w:lastRenderedPageBreak/>
        <w:t xml:space="preserve">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lastRenderedPageBreak/>
        <w:t xml:space="preserve">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="009E4C7B" w:rsidRPr="009E4C7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Федерации, нормативных правовых актов Томской области, Администрации Томского района и нормативных правовых актов Администрации Ко</w:t>
      </w:r>
      <w:r w:rsidR="009E4C7B">
        <w:rPr>
          <w:rFonts w:ascii="Times New Roman" w:hAnsi="Times New Roman"/>
          <w:color w:val="000000" w:themeColor="text1"/>
          <w:sz w:val="28"/>
          <w:szCs w:val="28"/>
        </w:rPr>
        <w:t>пыловского</w:t>
      </w:r>
      <w:r w:rsidR="009E4C7B" w:rsidRPr="009E4C7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государственной (муниципальной)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E4C7B" w:rsidRPr="009E4C7B">
        <w:rPr>
          <w:rFonts w:ascii="Times New Roman" w:hAnsi="Times New Roman"/>
          <w:iCs/>
          <w:color w:val="000000" w:themeColor="text1"/>
          <w:sz w:val="28"/>
          <w:szCs w:val="28"/>
        </w:rPr>
        <w:t>Томской области, Администрации Томского района и нормативных правовых актов Администрации Ко</w:t>
      </w:r>
      <w:r w:rsidR="009E4C7B">
        <w:rPr>
          <w:rFonts w:ascii="Times New Roman" w:hAnsi="Times New Roman"/>
          <w:iCs/>
          <w:color w:val="000000" w:themeColor="text1"/>
          <w:sz w:val="28"/>
          <w:szCs w:val="28"/>
        </w:rPr>
        <w:t>пыловского</w:t>
      </w:r>
      <w:r w:rsidR="009E4C7B" w:rsidRPr="009E4C7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сельского поселения</w:t>
      </w:r>
      <w:r w:rsidR="009E4C7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государственной (муниципальной) 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344E4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even" r:id="rId12"/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Номер телефона и адрес электронной почты для связи:______________________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государственной (муниципальной) услуги в многофункциональном центре, а также подача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CF2" w:rsidRDefault="00015CF2">
      <w:pPr>
        <w:spacing w:after="0" w:line="240" w:lineRule="auto"/>
      </w:pPr>
      <w:r>
        <w:separator/>
      </w:r>
    </w:p>
  </w:endnote>
  <w:endnote w:type="continuationSeparator" w:id="1">
    <w:p w:rsidR="00015CF2" w:rsidRDefault="00015CF2">
      <w:pPr>
        <w:spacing w:after="0" w:line="240" w:lineRule="auto"/>
      </w:pPr>
      <w:r>
        <w:continuationSeparator/>
      </w:r>
    </w:p>
  </w:endnote>
  <w:endnote w:type="continuationNotice" w:id="2">
    <w:p w:rsidR="00015CF2" w:rsidRDefault="00015CF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CF2" w:rsidRDefault="00015CF2">
      <w:pPr>
        <w:spacing w:after="0" w:line="240" w:lineRule="auto"/>
      </w:pPr>
      <w:r>
        <w:separator/>
      </w:r>
    </w:p>
  </w:footnote>
  <w:footnote w:type="continuationSeparator" w:id="1">
    <w:p w:rsidR="00015CF2" w:rsidRDefault="00015CF2">
      <w:pPr>
        <w:spacing w:after="0" w:line="240" w:lineRule="auto"/>
      </w:pPr>
      <w:r>
        <w:continuationSeparator/>
      </w:r>
    </w:p>
  </w:footnote>
  <w:footnote w:type="continuationNotice" w:id="2">
    <w:p w:rsidR="00015CF2" w:rsidRDefault="00015CF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67" w:rsidRDefault="00C035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67" w:rsidRPr="007B2B77" w:rsidRDefault="00C03567">
    <w:pPr>
      <w:pStyle w:val="a6"/>
      <w:jc w:val="center"/>
      <w:rPr>
        <w:rFonts w:ascii="Times New Roman" w:hAnsi="Times New Roman"/>
        <w:sz w:val="24"/>
      </w:rPr>
    </w:pPr>
  </w:p>
  <w:p w:rsidR="00C03567" w:rsidRDefault="00C0356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CF2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4E4E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3FAD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3FDE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BFD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63F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C7B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887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567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CE0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5E39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637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67</Pages>
  <Words>18132</Words>
  <Characters>103354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4</cp:revision>
  <cp:lastPrinted>2020-09-18T17:08:00Z</cp:lastPrinted>
  <dcterms:created xsi:type="dcterms:W3CDTF">2022-02-07T07:56:00Z</dcterms:created>
  <dcterms:modified xsi:type="dcterms:W3CDTF">2022-02-25T03:48:00Z</dcterms:modified>
</cp:coreProperties>
</file>